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25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7252970" cy="1568450"/>
                <wp:effectExtent l="0" t="0" r="0" b="317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252970" cy="1568450"/>
                          <a:chExt cx="7252970" cy="156845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970" cy="1526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252970" cy="1568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5"/>
                                <w:rPr>
                                  <w:rFonts w:ascii="Times New Roman"/>
                                  <w:sz w:val="8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87" w:right="0" w:firstLine="0"/>
                                <w:jc w:val="left"/>
                                <w:rPr>
                                  <w:b/>
                                  <w:sz w:val="8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3"/>
                                </w:rPr>
                                <w:t>UMB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8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83"/>
                                </w:rPr>
                                <w:t>ICTR</w:t>
                              </w:r>
                            </w:p>
                            <w:p>
                              <w:pPr>
                                <w:spacing w:before="16"/>
                                <w:ind w:left="229" w:right="0" w:firstLine="0"/>
                                <w:jc w:val="left"/>
                                <w:rPr>
                                  <w:rFonts w:ascii="Cambria"/>
                                  <w:b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i/>
                                  <w:color w:val="FFFFFF"/>
                                  <w:sz w:val="40"/>
                                </w:rPr>
                                <w:t>molecules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color w:val="FFFFFF"/>
                                  <w:spacing w:val="36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color w:val="FFFFFF"/>
                                  <w:sz w:val="40"/>
                                </w:rPr>
                                <w:t>to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color w:val="FFFFFF"/>
                                  <w:spacing w:val="1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color w:val="FFFFFF"/>
                                  <w:spacing w:val="-2"/>
                                  <w:sz w:val="40"/>
                                </w:rPr>
                                <w:t>communities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1.1pt;height:123.5pt;mso-position-horizontal-relative:char;mso-position-vertical-relative:line" id="docshapegroup1" coordorigin="0,0" coordsize="11422,2470">
                <v:shape style="position:absolute;left:0;top:0;width:11422;height:2404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1422;height:2470" type="#_x0000_t202" id="docshape3" filled="false" stroked="false">
                  <v:textbox inset="0,0,0,0">
                    <w:txbxContent>
                      <w:p>
                        <w:pPr>
                          <w:spacing w:line="240" w:lineRule="auto" w:before="15"/>
                          <w:rPr>
                            <w:rFonts w:ascii="Times New Roman"/>
                            <w:sz w:val="83"/>
                          </w:rPr>
                        </w:pPr>
                      </w:p>
                      <w:p>
                        <w:pPr>
                          <w:spacing w:before="0"/>
                          <w:ind w:left="287" w:right="0" w:firstLine="0"/>
                          <w:jc w:val="left"/>
                          <w:rPr>
                            <w:b/>
                            <w:sz w:val="83"/>
                          </w:rPr>
                        </w:pPr>
                        <w:r>
                          <w:rPr>
                            <w:b/>
                            <w:color w:val="FFFFFF"/>
                            <w:sz w:val="83"/>
                          </w:rPr>
                          <w:t>UMB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8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83"/>
                          </w:rPr>
                          <w:t>ICTR</w:t>
                        </w:r>
                      </w:p>
                      <w:p>
                        <w:pPr>
                          <w:spacing w:before="16"/>
                          <w:ind w:left="229" w:right="0" w:firstLine="0"/>
                          <w:jc w:val="left"/>
                          <w:rPr>
                            <w:rFonts w:ascii="Cambria"/>
                            <w:b/>
                            <w:i/>
                            <w:sz w:val="40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FFFFFF"/>
                            <w:sz w:val="40"/>
                          </w:rPr>
                          <w:t>molecules</w:t>
                        </w:r>
                        <w:r>
                          <w:rPr>
                            <w:rFonts w:ascii="Cambria"/>
                            <w:b/>
                            <w:i/>
                            <w:color w:val="FFFFFF"/>
                            <w:spacing w:val="36"/>
                            <w:sz w:val="40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color w:val="FFFFFF"/>
                            <w:sz w:val="40"/>
                          </w:rPr>
                          <w:t>to</w:t>
                        </w:r>
                        <w:r>
                          <w:rPr>
                            <w:rFonts w:ascii="Cambria"/>
                            <w:b/>
                            <w:i/>
                            <w:color w:val="FFFFFF"/>
                            <w:spacing w:val="1"/>
                            <w:sz w:val="40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color w:val="FFFFFF"/>
                            <w:spacing w:val="-2"/>
                            <w:sz w:val="40"/>
                          </w:rPr>
                          <w:t>communities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Title"/>
      </w:pPr>
      <w:r>
        <w:rPr/>
        <w:t>ICTR</w:t>
      </w:r>
      <w:r>
        <w:rPr>
          <w:spacing w:val="-11"/>
        </w:rPr>
        <w:t> </w:t>
      </w:r>
      <w:r>
        <w:rPr/>
        <w:t>ENRICHMENT</w:t>
      </w:r>
      <w:r>
        <w:rPr>
          <w:spacing w:val="-6"/>
        </w:rPr>
        <w:t> </w:t>
      </w:r>
      <w:r>
        <w:rPr>
          <w:spacing w:val="-2"/>
        </w:rPr>
        <w:t>SERIES</w:t>
      </w:r>
    </w:p>
    <w:p>
      <w:pPr>
        <w:spacing w:before="275"/>
        <w:ind w:left="3" w:right="24" w:firstLine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Tuesday,</w:t>
      </w:r>
      <w:r>
        <w:rPr>
          <w:rFonts w:ascii="Times New Roman" w:hAnsi="Times New Roman"/>
          <w:b/>
          <w:spacing w:val="-2"/>
          <w:sz w:val="40"/>
        </w:rPr>
        <w:t> </w:t>
      </w:r>
      <w:r>
        <w:rPr>
          <w:rFonts w:ascii="Times New Roman" w:hAnsi="Times New Roman"/>
          <w:b/>
          <w:sz w:val="40"/>
        </w:rPr>
        <w:t>March</w:t>
      </w:r>
      <w:r>
        <w:rPr>
          <w:rFonts w:ascii="Times New Roman" w:hAnsi="Times New Roman"/>
          <w:b/>
          <w:spacing w:val="5"/>
          <w:sz w:val="40"/>
        </w:rPr>
        <w:t> </w:t>
      </w:r>
      <w:r>
        <w:rPr>
          <w:rFonts w:ascii="Times New Roman" w:hAnsi="Times New Roman"/>
          <w:b/>
          <w:sz w:val="40"/>
        </w:rPr>
        <w:t>12,</w:t>
      </w:r>
      <w:r>
        <w:rPr>
          <w:rFonts w:ascii="Times New Roman" w:hAnsi="Times New Roman"/>
          <w:b/>
          <w:spacing w:val="-2"/>
          <w:sz w:val="40"/>
        </w:rPr>
        <w:t> </w:t>
      </w:r>
      <w:r>
        <w:rPr>
          <w:rFonts w:ascii="Times New Roman" w:hAnsi="Times New Roman"/>
          <w:b/>
          <w:sz w:val="40"/>
        </w:rPr>
        <w:t>2024</w:t>
      </w:r>
      <w:r>
        <w:rPr>
          <w:rFonts w:ascii="Times New Roman" w:hAnsi="Times New Roman"/>
          <w:b/>
          <w:spacing w:val="-2"/>
          <w:sz w:val="40"/>
        </w:rPr>
        <w:t> </w:t>
      </w:r>
      <w:r>
        <w:rPr>
          <w:rFonts w:ascii="Times New Roman" w:hAnsi="Times New Roman"/>
          <w:b/>
          <w:sz w:val="40"/>
        </w:rPr>
        <w:t>-</w:t>
      </w:r>
      <w:r>
        <w:rPr>
          <w:rFonts w:ascii="Times New Roman" w:hAnsi="Times New Roman"/>
          <w:b/>
          <w:spacing w:val="-6"/>
          <w:sz w:val="40"/>
        </w:rPr>
        <w:t> </w:t>
      </w:r>
      <w:r>
        <w:rPr>
          <w:rFonts w:ascii="Times New Roman" w:hAnsi="Times New Roman"/>
          <w:b/>
          <w:sz w:val="40"/>
        </w:rPr>
        <w:t>12:00</w:t>
      </w:r>
      <w:r>
        <w:rPr>
          <w:rFonts w:ascii="Times New Roman" w:hAnsi="Times New Roman"/>
          <w:b/>
          <w:spacing w:val="-2"/>
          <w:sz w:val="40"/>
        </w:rPr>
        <w:t> </w:t>
      </w:r>
      <w:r>
        <w:rPr>
          <w:rFonts w:ascii="Times New Roman" w:hAnsi="Times New Roman"/>
          <w:b/>
          <w:sz w:val="40"/>
        </w:rPr>
        <w:t>pm</w:t>
      </w:r>
      <w:r>
        <w:rPr>
          <w:rFonts w:ascii="Times New Roman" w:hAnsi="Times New Roman"/>
          <w:b/>
          <w:spacing w:val="8"/>
          <w:sz w:val="40"/>
        </w:rPr>
        <w:t> </w:t>
      </w:r>
      <w:r>
        <w:rPr>
          <w:rFonts w:ascii="Times New Roman" w:hAnsi="Times New Roman"/>
          <w:b/>
          <w:sz w:val="40"/>
        </w:rPr>
        <w:t>–</w:t>
      </w:r>
      <w:r>
        <w:rPr>
          <w:rFonts w:ascii="Times New Roman" w:hAnsi="Times New Roman"/>
          <w:b/>
          <w:spacing w:val="-2"/>
          <w:sz w:val="40"/>
        </w:rPr>
        <w:t> </w:t>
      </w:r>
      <w:r>
        <w:rPr>
          <w:rFonts w:ascii="Times New Roman" w:hAnsi="Times New Roman"/>
          <w:b/>
          <w:sz w:val="40"/>
        </w:rPr>
        <w:t>1:00</w:t>
      </w:r>
      <w:r>
        <w:rPr>
          <w:rFonts w:ascii="Times New Roman" w:hAnsi="Times New Roman"/>
          <w:b/>
          <w:spacing w:val="-2"/>
          <w:sz w:val="40"/>
        </w:rPr>
        <w:t> </w:t>
      </w:r>
      <w:r>
        <w:rPr>
          <w:rFonts w:ascii="Times New Roman" w:hAnsi="Times New Roman"/>
          <w:b/>
          <w:spacing w:val="-5"/>
          <w:sz w:val="40"/>
        </w:rPr>
        <w:t>pm</w:t>
      </w:r>
    </w:p>
    <w:p>
      <w:pPr>
        <w:pStyle w:val="Heading1"/>
        <w:spacing w:before="374"/>
        <w:ind w:left="18"/>
        <w:rPr>
          <w:rFonts w:ascii="Times New Roman"/>
          <w:u w:val="none"/>
        </w:rPr>
      </w:pPr>
      <w:r>
        <w:rPr>
          <w:rFonts w:ascii="Times New Roman"/>
          <w:u w:val="none"/>
        </w:rPr>
        <w:t>PLEASE</w:t>
      </w:r>
      <w:r>
        <w:rPr>
          <w:rFonts w:ascii="Times New Roman"/>
          <w:spacing w:val="24"/>
          <w:u w:val="none"/>
        </w:rPr>
        <w:t> </w:t>
      </w:r>
      <w:r>
        <w:rPr>
          <w:rFonts w:ascii="Times New Roman"/>
          <w:u w:val="none"/>
        </w:rPr>
        <w:t>REGISTER</w:t>
      </w:r>
      <w:r>
        <w:rPr>
          <w:rFonts w:ascii="Times New Roman"/>
          <w:spacing w:val="36"/>
          <w:u w:val="none"/>
        </w:rPr>
        <w:t> </w:t>
      </w:r>
      <w:r>
        <w:rPr>
          <w:rFonts w:ascii="Times New Roman"/>
          <w:u w:val="none"/>
        </w:rPr>
        <w:t>FOR</w:t>
      </w:r>
      <w:r>
        <w:rPr>
          <w:rFonts w:ascii="Times New Roman"/>
          <w:spacing w:val="5"/>
          <w:u w:val="none"/>
        </w:rPr>
        <w:t> </w:t>
      </w:r>
      <w:r>
        <w:rPr>
          <w:rFonts w:ascii="Times New Roman"/>
          <w:u w:val="none"/>
        </w:rPr>
        <w:t>THIS</w:t>
      </w:r>
      <w:r>
        <w:rPr>
          <w:rFonts w:ascii="Times New Roman"/>
          <w:spacing w:val="-4"/>
          <w:u w:val="none"/>
        </w:rPr>
        <w:t> </w:t>
      </w:r>
      <w:r>
        <w:rPr>
          <w:rFonts w:ascii="Times New Roman"/>
          <w:u w:val="none"/>
        </w:rPr>
        <w:t>ZOOM</w:t>
      </w:r>
      <w:r>
        <w:rPr>
          <w:rFonts w:ascii="Times New Roman"/>
          <w:spacing w:val="7"/>
          <w:u w:val="none"/>
        </w:rPr>
        <w:t> </w:t>
      </w:r>
      <w:r>
        <w:rPr>
          <w:rFonts w:ascii="Times New Roman"/>
          <w:spacing w:val="-2"/>
          <w:u w:val="none"/>
        </w:rPr>
        <w:t>WEBINAR</w:t>
      </w:r>
    </w:p>
    <w:p>
      <w:pPr>
        <w:pStyle w:val="BodyText"/>
        <w:spacing w:before="30"/>
        <w:rPr>
          <w:rFonts w:ascii="Times New Roman"/>
          <w:sz w:val="31"/>
        </w:rPr>
      </w:pPr>
    </w:p>
    <w:p>
      <w:pPr>
        <w:spacing w:before="0"/>
        <w:ind w:left="3" w:right="21" w:firstLine="0"/>
        <w:jc w:val="center"/>
        <w:rPr>
          <w:sz w:val="31"/>
        </w:rPr>
      </w:pPr>
      <w:hyperlink r:id="rId6">
        <w:r>
          <w:rPr>
            <w:color w:val="0000FF"/>
            <w:sz w:val="31"/>
            <w:u w:val="single" w:color="0000FF"/>
          </w:rPr>
          <w:t>https://us02web.zoom.us/webinar/register/WN_Hafc6rDnRT-</w:t>
        </w:r>
        <w:r>
          <w:rPr>
            <w:color w:val="0000FF"/>
            <w:spacing w:val="-2"/>
            <w:sz w:val="31"/>
            <w:u w:val="single" w:color="0000FF"/>
          </w:rPr>
          <w:t>cu4fOqHT_IA</w:t>
        </w:r>
      </w:hyperlink>
    </w:p>
    <w:p>
      <w:pPr>
        <w:spacing w:line="232" w:lineRule="auto" w:before="412"/>
        <w:ind w:left="6" w:right="21" w:firstLine="0"/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color w:val="006FC0"/>
          <w:sz w:val="36"/>
        </w:rPr>
        <w:t>“</w:t>
      </w:r>
      <w:r>
        <w:rPr>
          <w:rFonts w:ascii="Times New Roman" w:hAnsi="Times New Roman"/>
          <w:b/>
          <w:i/>
          <w:color w:val="006FC0"/>
          <w:sz w:val="36"/>
        </w:rPr>
        <w:t>Walking the</w:t>
      </w:r>
      <w:r>
        <w:rPr>
          <w:rFonts w:ascii="Times New Roman" w:hAnsi="Times New Roman"/>
          <w:b/>
          <w:i/>
          <w:color w:val="006FC0"/>
          <w:spacing w:val="-3"/>
          <w:sz w:val="36"/>
        </w:rPr>
        <w:t> </w:t>
      </w:r>
      <w:r>
        <w:rPr>
          <w:rFonts w:ascii="Times New Roman" w:hAnsi="Times New Roman"/>
          <w:b/>
          <w:i/>
          <w:color w:val="006FC0"/>
          <w:sz w:val="36"/>
        </w:rPr>
        <w:t>fine</w:t>
      </w:r>
      <w:r>
        <w:rPr>
          <w:rFonts w:ascii="Times New Roman" w:hAnsi="Times New Roman"/>
          <w:b/>
          <w:i/>
          <w:color w:val="006FC0"/>
          <w:spacing w:val="-3"/>
          <w:sz w:val="36"/>
        </w:rPr>
        <w:t> </w:t>
      </w:r>
      <w:r>
        <w:rPr>
          <w:rFonts w:ascii="Times New Roman" w:hAnsi="Times New Roman"/>
          <w:b/>
          <w:i/>
          <w:color w:val="006FC0"/>
          <w:sz w:val="36"/>
        </w:rPr>
        <w:t>line</w:t>
      </w:r>
      <w:r>
        <w:rPr>
          <w:rFonts w:ascii="Times New Roman" w:hAnsi="Times New Roman"/>
          <w:b/>
          <w:i/>
          <w:color w:val="006FC0"/>
          <w:spacing w:val="-3"/>
          <w:sz w:val="36"/>
        </w:rPr>
        <w:t> </w:t>
      </w:r>
      <w:r>
        <w:rPr>
          <w:rFonts w:ascii="Times New Roman" w:hAnsi="Times New Roman"/>
          <w:b/>
          <w:i/>
          <w:color w:val="006FC0"/>
          <w:sz w:val="36"/>
        </w:rPr>
        <w:t>between Human Subjects Research and Non-Human</w:t>
      </w:r>
      <w:r>
        <w:rPr>
          <w:rFonts w:ascii="Times New Roman" w:hAnsi="Times New Roman"/>
          <w:b/>
          <w:i/>
          <w:color w:val="006FC0"/>
          <w:sz w:val="36"/>
        </w:rPr>
        <w:t> Subjects Research (NHSR) when engaging the community in research”</w:t>
      </w:r>
    </w:p>
    <w:p>
      <w:pPr>
        <w:pStyle w:val="BodyText"/>
        <w:spacing w:before="150"/>
        <w:rPr>
          <w:rFonts w:ascii="Times New Roman"/>
          <w:b/>
          <w:i/>
          <w:sz w:val="36"/>
        </w:rPr>
      </w:pPr>
    </w:p>
    <w:p>
      <w:pPr>
        <w:spacing w:before="0"/>
        <w:ind w:left="7" w:right="21" w:firstLine="0"/>
        <w:jc w:val="center"/>
        <w:rPr>
          <w:b/>
          <w:i/>
          <w:sz w:val="2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1343025</wp:posOffset>
            </wp:positionH>
            <wp:positionV relativeFrom="paragraph">
              <wp:posOffset>135435</wp:posOffset>
            </wp:positionV>
            <wp:extent cx="923925" cy="125730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7"/>
        </w:rPr>
        <w:t>Presented</w:t>
      </w:r>
      <w:r>
        <w:rPr>
          <w:b/>
          <w:i/>
          <w:spacing w:val="33"/>
          <w:sz w:val="27"/>
        </w:rPr>
        <w:t> </w:t>
      </w:r>
      <w:r>
        <w:rPr>
          <w:b/>
          <w:i/>
          <w:spacing w:val="-7"/>
          <w:sz w:val="27"/>
        </w:rPr>
        <w:t>by</w:t>
      </w:r>
    </w:p>
    <w:p>
      <w:pPr>
        <w:spacing w:line="247" w:lineRule="auto" w:before="117"/>
        <w:ind w:left="3872" w:right="2514" w:firstLine="0"/>
        <w:jc w:val="left"/>
        <w:rPr>
          <w:sz w:val="27"/>
        </w:rPr>
      </w:pPr>
      <w:r>
        <w:rPr>
          <w:b/>
          <w:color w:val="4F81BC"/>
          <w:sz w:val="27"/>
        </w:rPr>
        <w:t>Julie Doherty, DM, MSN, RN, CIP, CCEP </w:t>
      </w:r>
      <w:r>
        <w:rPr>
          <w:color w:val="1F487C"/>
          <w:sz w:val="27"/>
        </w:rPr>
        <w:t>Assistant</w:t>
      </w:r>
      <w:r>
        <w:rPr>
          <w:color w:val="1F487C"/>
          <w:spacing w:val="32"/>
          <w:sz w:val="27"/>
        </w:rPr>
        <w:t> </w:t>
      </w:r>
      <w:r>
        <w:rPr>
          <w:color w:val="1F487C"/>
          <w:sz w:val="27"/>
        </w:rPr>
        <w:t>Vice President,</w:t>
      </w:r>
      <w:r>
        <w:rPr>
          <w:color w:val="1F487C"/>
          <w:spacing w:val="40"/>
          <w:sz w:val="27"/>
        </w:rPr>
        <w:t> </w:t>
      </w:r>
      <w:r>
        <w:rPr>
          <w:color w:val="1F487C"/>
          <w:sz w:val="27"/>
        </w:rPr>
        <w:t>Research</w:t>
      </w:r>
      <w:r>
        <w:rPr>
          <w:color w:val="1F487C"/>
          <w:spacing w:val="23"/>
          <w:sz w:val="27"/>
        </w:rPr>
        <w:t> </w:t>
      </w:r>
      <w:r>
        <w:rPr>
          <w:color w:val="1F487C"/>
          <w:sz w:val="27"/>
        </w:rPr>
        <w:t>Compliance Office of Accountability</w:t>
      </w:r>
      <w:r>
        <w:rPr>
          <w:color w:val="1F487C"/>
          <w:spacing w:val="40"/>
          <w:sz w:val="27"/>
        </w:rPr>
        <w:t> </w:t>
      </w:r>
      <w:r>
        <w:rPr>
          <w:color w:val="1F487C"/>
          <w:sz w:val="27"/>
        </w:rPr>
        <w:t>&amp; Compliance University</w:t>
      </w:r>
      <w:r>
        <w:rPr>
          <w:color w:val="1F487C"/>
          <w:spacing w:val="40"/>
          <w:sz w:val="27"/>
        </w:rPr>
        <w:t> </w:t>
      </w:r>
      <w:r>
        <w:rPr>
          <w:color w:val="1F487C"/>
          <w:sz w:val="27"/>
        </w:rPr>
        <w:t>of Maryland Baltimore</w:t>
      </w:r>
    </w:p>
    <w:p>
      <w:pPr>
        <w:pStyle w:val="BodyText"/>
        <w:rPr>
          <w:sz w:val="27"/>
        </w:rPr>
      </w:pPr>
    </w:p>
    <w:p>
      <w:pPr>
        <w:pStyle w:val="BodyText"/>
        <w:spacing w:before="72"/>
        <w:rPr>
          <w:sz w:val="27"/>
        </w:rPr>
      </w:pPr>
    </w:p>
    <w:p>
      <w:pPr>
        <w:spacing w:before="0"/>
        <w:ind w:left="3742" w:right="0" w:firstLine="0"/>
        <w:jc w:val="left"/>
        <w:rPr>
          <w:b/>
          <w:i/>
          <w:sz w:val="2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1352550</wp:posOffset>
            </wp:positionH>
            <wp:positionV relativeFrom="paragraph">
              <wp:posOffset>-112646</wp:posOffset>
            </wp:positionV>
            <wp:extent cx="904875" cy="1247774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4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F81BC"/>
          <w:sz w:val="27"/>
        </w:rPr>
        <w:t>Jan</w:t>
      </w:r>
      <w:r>
        <w:rPr>
          <w:b/>
          <w:color w:val="4F81BC"/>
          <w:spacing w:val="26"/>
          <w:sz w:val="27"/>
        </w:rPr>
        <w:t> </w:t>
      </w:r>
      <w:r>
        <w:rPr>
          <w:b/>
          <w:color w:val="4F81BC"/>
          <w:sz w:val="27"/>
        </w:rPr>
        <w:t>E.</w:t>
      </w:r>
      <w:r>
        <w:rPr>
          <w:b/>
          <w:color w:val="4F81BC"/>
          <w:spacing w:val="13"/>
          <w:sz w:val="27"/>
        </w:rPr>
        <w:t> </w:t>
      </w:r>
      <w:r>
        <w:rPr>
          <w:b/>
          <w:color w:val="4F81BC"/>
          <w:sz w:val="27"/>
        </w:rPr>
        <w:t>Martinez,</w:t>
      </w:r>
      <w:r>
        <w:rPr>
          <w:b/>
          <w:color w:val="4F81BC"/>
          <w:spacing w:val="1"/>
          <w:sz w:val="27"/>
        </w:rPr>
        <w:t> </w:t>
      </w:r>
      <w:r>
        <w:rPr>
          <w:b/>
          <w:color w:val="4F81BC"/>
          <w:sz w:val="27"/>
        </w:rPr>
        <w:t>MS,</w:t>
      </w:r>
      <w:r>
        <w:rPr>
          <w:b/>
          <w:color w:val="4F81BC"/>
          <w:spacing w:val="16"/>
          <w:sz w:val="27"/>
        </w:rPr>
        <w:t> </w:t>
      </w:r>
      <w:r>
        <w:rPr>
          <w:b/>
          <w:color w:val="4F81BC"/>
          <w:sz w:val="27"/>
        </w:rPr>
        <w:t>CIP,</w:t>
      </w:r>
      <w:r>
        <w:rPr>
          <w:b/>
          <w:color w:val="4F81BC"/>
          <w:spacing w:val="16"/>
          <w:sz w:val="27"/>
        </w:rPr>
        <w:t> </w:t>
      </w:r>
      <w:r>
        <w:rPr>
          <w:b/>
          <w:color w:val="4F81BC"/>
          <w:sz w:val="27"/>
        </w:rPr>
        <w:t>CLSSGB</w:t>
      </w:r>
      <w:r>
        <w:rPr>
          <w:b/>
          <w:color w:val="4F81BC"/>
          <w:spacing w:val="43"/>
          <w:sz w:val="27"/>
        </w:rPr>
        <w:t> </w:t>
      </w:r>
      <w:r>
        <w:rPr>
          <w:b/>
          <w:i/>
          <w:color w:val="4F81BC"/>
          <w:spacing w:val="-2"/>
          <w:sz w:val="27"/>
        </w:rPr>
        <w:t>(she/her)</w:t>
      </w:r>
    </w:p>
    <w:p>
      <w:pPr>
        <w:spacing w:before="17"/>
        <w:ind w:left="3742" w:right="0" w:firstLine="0"/>
        <w:jc w:val="left"/>
        <w:rPr>
          <w:sz w:val="27"/>
        </w:rPr>
      </w:pPr>
      <w:r>
        <w:rPr>
          <w:color w:val="1F487C"/>
          <w:sz w:val="27"/>
        </w:rPr>
        <w:t>IRB</w:t>
      </w:r>
      <w:r>
        <w:rPr>
          <w:color w:val="1F487C"/>
          <w:spacing w:val="5"/>
          <w:sz w:val="27"/>
        </w:rPr>
        <w:t> </w:t>
      </w:r>
      <w:r>
        <w:rPr>
          <w:color w:val="1F487C"/>
          <w:spacing w:val="-2"/>
          <w:sz w:val="27"/>
        </w:rPr>
        <w:t>Manager</w:t>
      </w:r>
    </w:p>
    <w:p>
      <w:pPr>
        <w:spacing w:before="2"/>
        <w:ind w:left="3742" w:right="0" w:firstLine="0"/>
        <w:jc w:val="left"/>
        <w:rPr>
          <w:sz w:val="27"/>
        </w:rPr>
      </w:pPr>
      <w:r>
        <w:rPr>
          <w:color w:val="1F487C"/>
          <w:sz w:val="27"/>
        </w:rPr>
        <w:t>UMB</w:t>
      </w:r>
      <w:r>
        <w:rPr>
          <w:color w:val="1F487C"/>
          <w:spacing w:val="16"/>
          <w:sz w:val="27"/>
        </w:rPr>
        <w:t> </w:t>
      </w:r>
      <w:r>
        <w:rPr>
          <w:color w:val="1F487C"/>
          <w:spacing w:val="-2"/>
          <w:sz w:val="27"/>
        </w:rPr>
        <w:t>OAC/HRPO/IRB</w:t>
      </w:r>
    </w:p>
    <w:p>
      <w:pPr>
        <w:spacing w:before="16"/>
        <w:ind w:left="3742" w:right="0" w:firstLine="0"/>
        <w:jc w:val="left"/>
        <w:rPr>
          <w:sz w:val="27"/>
        </w:rPr>
      </w:pPr>
      <w:r>
        <w:rPr>
          <w:color w:val="1F487C"/>
          <w:sz w:val="27"/>
        </w:rPr>
        <w:t>University</w:t>
      </w:r>
      <w:r>
        <w:rPr>
          <w:color w:val="1F487C"/>
          <w:spacing w:val="41"/>
          <w:sz w:val="27"/>
        </w:rPr>
        <w:t> </w:t>
      </w:r>
      <w:r>
        <w:rPr>
          <w:color w:val="1F487C"/>
          <w:sz w:val="27"/>
        </w:rPr>
        <w:t>of</w:t>
      </w:r>
      <w:r>
        <w:rPr>
          <w:color w:val="1F487C"/>
          <w:spacing w:val="10"/>
          <w:sz w:val="27"/>
        </w:rPr>
        <w:t> </w:t>
      </w:r>
      <w:r>
        <w:rPr>
          <w:color w:val="1F487C"/>
          <w:sz w:val="27"/>
        </w:rPr>
        <w:t>Maryland,</w:t>
      </w:r>
      <w:r>
        <w:rPr>
          <w:color w:val="1F487C"/>
          <w:spacing w:val="26"/>
          <w:sz w:val="27"/>
        </w:rPr>
        <w:t> </w:t>
      </w:r>
      <w:r>
        <w:rPr>
          <w:color w:val="1F487C"/>
          <w:spacing w:val="-2"/>
          <w:sz w:val="27"/>
        </w:rPr>
        <w:t>Baltimore</w:t>
      </w:r>
    </w:p>
    <w:p>
      <w:pPr>
        <w:pStyle w:val="BodyText"/>
        <w:rPr>
          <w:sz w:val="27"/>
        </w:rPr>
      </w:pPr>
    </w:p>
    <w:p>
      <w:pPr>
        <w:pStyle w:val="BodyText"/>
        <w:spacing w:before="63"/>
        <w:rPr>
          <w:sz w:val="27"/>
        </w:rPr>
      </w:pPr>
    </w:p>
    <w:p>
      <w:pPr>
        <w:pStyle w:val="BodyText"/>
        <w:ind w:left="859" w:right="857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5057775</wp:posOffset>
            </wp:positionH>
            <wp:positionV relativeFrom="paragraph">
              <wp:posOffset>1263023</wp:posOffset>
            </wp:positionV>
            <wp:extent cx="2466594" cy="735328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594" cy="735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With</w:t>
      </w:r>
      <w:r>
        <w:rPr>
          <w:spacing w:val="-14"/>
        </w:rPr>
        <w:t> </w:t>
      </w:r>
      <w:r>
        <w:rPr/>
        <w:t>theincreased</w:t>
      </w:r>
      <w:r>
        <w:rPr>
          <w:spacing w:val="-2"/>
        </w:rPr>
        <w:t> </w:t>
      </w:r>
      <w:r>
        <w:rPr/>
        <w:t>in</w:t>
      </w:r>
      <w:r>
        <w:rPr>
          <w:spacing w:val="-13"/>
        </w:rPr>
        <w:t> </w:t>
      </w:r>
      <w:r>
        <w:rPr/>
        <w:t>community-engaged</w:t>
      </w:r>
      <w:r>
        <w:rPr>
          <w:spacing w:val="-14"/>
        </w:rPr>
        <w:t> </w:t>
      </w:r>
      <w:r>
        <w:rPr/>
        <w:t>research</w:t>
      </w:r>
      <w:r>
        <w:rPr>
          <w:spacing w:val="-14"/>
        </w:rPr>
        <w:t> </w:t>
      </w:r>
      <w:r>
        <w:rPr/>
        <w:t>(CEnR)</w:t>
      </w:r>
      <w:r>
        <w:rPr>
          <w:spacing w:val="-13"/>
        </w:rPr>
        <w:t> </w:t>
      </w:r>
      <w:r>
        <w:rPr/>
        <w:t>involving</w:t>
      </w:r>
      <w:r>
        <w:rPr>
          <w:spacing w:val="-14"/>
        </w:rPr>
        <w:t> </w:t>
      </w:r>
      <w:r>
        <w:rPr/>
        <w:t>patients</w:t>
      </w:r>
      <w:r>
        <w:rPr>
          <w:spacing w:val="-8"/>
        </w:rPr>
        <w:t> </w:t>
      </w:r>
      <w:r>
        <w:rPr/>
        <w:t>and</w:t>
      </w:r>
      <w:r>
        <w:rPr>
          <w:spacing w:val="-14"/>
        </w:rPr>
        <w:t> </w:t>
      </w:r>
      <w:r>
        <w:rPr/>
        <w:t>community</w:t>
      </w:r>
      <w:r>
        <w:rPr>
          <w:spacing w:val="-10"/>
        </w:rPr>
        <w:t> </w:t>
      </w:r>
      <w:r>
        <w:rPr/>
        <w:t>members as advisors versus “human subjects,” the line between Human Subjects Research and Non</w:t>
      </w:r>
      <w:r>
        <w:rPr>
          <w:spacing w:val="-14"/>
        </w:rPr>
        <w:t> </w:t>
      </w:r>
      <w:r>
        <w:rPr/>
        <w:t>-Human Subjects</w:t>
      </w:r>
      <w:r>
        <w:rPr>
          <w:spacing w:val="-14"/>
        </w:rPr>
        <w:t> </w:t>
      </w:r>
      <w:r>
        <w:rPr/>
        <w:t>Research</w:t>
      </w:r>
      <w:r>
        <w:rPr>
          <w:spacing w:val="-14"/>
        </w:rPr>
        <w:t> </w:t>
      </w:r>
      <w:r>
        <w:rPr/>
        <w:t>(NHSR)</w:t>
      </w:r>
      <w:r>
        <w:rPr>
          <w:spacing w:val="-13"/>
        </w:rPr>
        <w:t> </w:t>
      </w:r>
      <w:r>
        <w:rPr/>
        <w:t>is</w:t>
      </w:r>
      <w:r>
        <w:rPr>
          <w:spacing w:val="7"/>
        </w:rPr>
        <w:t> </w:t>
      </w:r>
      <w:r>
        <w:rPr/>
        <w:t>sometimes</w:t>
      </w:r>
      <w:r>
        <w:rPr>
          <w:spacing w:val="-5"/>
        </w:rPr>
        <w:t> </w:t>
      </w:r>
      <w:r>
        <w:rPr/>
        <w:t>blurred.</w:t>
      </w:r>
      <w:r>
        <w:rPr>
          <w:spacing w:val="-14"/>
        </w:rPr>
        <w:t> </w:t>
      </w:r>
      <w:r>
        <w:rPr/>
        <w:t>Moreover,</w:t>
      </w:r>
      <w:r>
        <w:rPr>
          <w:spacing w:val="-14"/>
        </w:rPr>
        <w:t> </w:t>
      </w:r>
      <w:r>
        <w:rPr/>
        <w:t>many</w:t>
      </w:r>
      <w:r>
        <w:rPr>
          <w:spacing w:val="-7"/>
        </w:rPr>
        <w:t> </w:t>
      </w:r>
      <w:r>
        <w:rPr/>
        <w:t>CEnR studies</w:t>
      </w:r>
      <w:r>
        <w:rPr>
          <w:spacing w:val="-6"/>
        </w:rPr>
        <w:t> </w:t>
      </w:r>
      <w:r>
        <w:rPr/>
        <w:t>haveboth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NHSR</w:t>
      </w:r>
      <w:r>
        <w:rPr>
          <w:spacing w:val="-14"/>
        </w:rPr>
        <w:t> </w:t>
      </w:r>
      <w:r>
        <w:rPr/>
        <w:t>phase (e.g. planning with Advisory Board) and a subsequent investigational phases during which a full IRB protocol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Human</w:t>
      </w:r>
      <w:r>
        <w:rPr>
          <w:spacing w:val="-4"/>
        </w:rPr>
        <w:t> </w:t>
      </w:r>
      <w:r>
        <w:rPr/>
        <w:t>Subjects Research</w:t>
      </w:r>
      <w:r>
        <w:rPr>
          <w:spacing w:val="-4"/>
        </w:rPr>
        <w:t> </w:t>
      </w:r>
      <w:r>
        <w:rPr/>
        <w:t>is needed.</w:t>
      </w:r>
      <w:r>
        <w:rPr>
          <w:spacing w:val="-10"/>
        </w:rPr>
        <w:t> </w:t>
      </w:r>
      <w:r>
        <w:rPr/>
        <w:t>This session</w:t>
      </w:r>
      <w:r>
        <w:rPr>
          <w:spacing w:val="-3"/>
        </w:rPr>
        <w:t> </w:t>
      </w:r>
      <w:r>
        <w:rPr/>
        <w:t>is a</w:t>
      </w:r>
      <w:r>
        <w:rPr>
          <w:spacing w:val="-8"/>
        </w:rPr>
        <w:t> </w:t>
      </w:r>
      <w:r>
        <w:rPr/>
        <w:t>great opportunity for</w:t>
      </w:r>
      <w:r>
        <w:rPr>
          <w:spacing w:val="-3"/>
        </w:rPr>
        <w:t> </w:t>
      </w:r>
      <w:r>
        <w:rPr/>
        <w:t>researchers to learn</w:t>
      </w:r>
      <w:r>
        <w:rPr>
          <w:spacing w:val="16"/>
        </w:rPr>
        <w:t> </w:t>
      </w:r>
      <w:r>
        <w:rPr/>
        <w:t>about</w:t>
      </w:r>
      <w:r>
        <w:rPr>
          <w:spacing w:val="21"/>
        </w:rPr>
        <w:t> </w:t>
      </w:r>
      <w:r>
        <w:rPr/>
        <w:t>the nuances</w:t>
      </w:r>
      <w:r>
        <w:rPr>
          <w:spacing w:val="21"/>
        </w:rPr>
        <w:t> </w:t>
      </w:r>
      <w:r>
        <w:rPr/>
        <w:t>of when</w:t>
      </w:r>
      <w:r>
        <w:rPr>
          <w:spacing w:val="16"/>
        </w:rPr>
        <w:t> </w:t>
      </w:r>
      <w:r>
        <w:rPr/>
        <w:t>community</w:t>
      </w:r>
      <w:r>
        <w:rPr>
          <w:spacing w:val="21"/>
        </w:rPr>
        <w:t> </w:t>
      </w:r>
      <w:r>
        <w:rPr/>
        <w:t>members</w:t>
      </w:r>
      <w:r>
        <w:rPr>
          <w:spacing w:val="21"/>
        </w:rPr>
        <w:t> </w:t>
      </w:r>
      <w:r>
        <w:rPr/>
        <w:t>are advisors</w:t>
      </w:r>
      <w:r>
        <w:rPr>
          <w:spacing w:val="21"/>
        </w:rPr>
        <w:t> </w:t>
      </w:r>
      <w:r>
        <w:rPr/>
        <w:t>vs. human</w:t>
      </w:r>
      <w:r>
        <w:rPr>
          <w:spacing w:val="16"/>
        </w:rPr>
        <w:t> </w:t>
      </w:r>
      <w:r>
        <w:rPr/>
        <w:t>subjects</w:t>
      </w:r>
      <w:r>
        <w:rPr>
          <w:spacing w:val="21"/>
        </w:rPr>
        <w:t> </w:t>
      </w:r>
      <w:r>
        <w:rPr/>
        <w:t>in</w:t>
      </w:r>
      <w:r>
        <w:rPr>
          <w:spacing w:val="16"/>
        </w:rPr>
        <w:t> </w:t>
      </w:r>
      <w:r>
        <w:rPr/>
        <w:t>research.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ind w:left="109"/>
      </w:pPr>
      <w:r>
        <w:rPr/>
        <w:t>For</w:t>
      </w:r>
      <w:r>
        <w:rPr>
          <w:spacing w:val="22"/>
        </w:rPr>
        <w:t> </w:t>
      </w:r>
      <w:r>
        <w:rPr/>
        <w:t>more</w:t>
      </w:r>
      <w:r>
        <w:rPr>
          <w:spacing w:val="12"/>
        </w:rPr>
        <w:t> </w:t>
      </w:r>
      <w:r>
        <w:rPr/>
        <w:t>information,</w:t>
      </w:r>
      <w:r>
        <w:rPr>
          <w:spacing w:val="15"/>
        </w:rPr>
        <w:t> </w:t>
      </w:r>
      <w:r>
        <w:rPr/>
        <w:t>please</w:t>
      </w:r>
      <w:r>
        <w:rPr>
          <w:spacing w:val="12"/>
        </w:rPr>
        <w:t> </w:t>
      </w:r>
      <w:r>
        <w:rPr>
          <w:spacing w:val="-2"/>
        </w:rPr>
        <w:t>contact:</w:t>
      </w:r>
    </w:p>
    <w:p>
      <w:pPr>
        <w:pStyle w:val="BodyText"/>
        <w:spacing w:before="10"/>
        <w:ind w:left="109"/>
      </w:pPr>
      <w:r>
        <w:rPr/>
        <w:t>410-328-2488</w:t>
      </w:r>
      <w:r>
        <w:rPr>
          <w:spacing w:val="41"/>
        </w:rPr>
        <w:t> </w:t>
      </w:r>
      <w:r>
        <w:rPr/>
        <w:t>|</w:t>
      </w:r>
      <w:r>
        <w:rPr>
          <w:spacing w:val="37"/>
        </w:rPr>
        <w:t> </w:t>
      </w:r>
      <w:hyperlink r:id="rId10">
        <w:r>
          <w:rPr>
            <w:color w:val="0000FF"/>
            <w:u w:val="single" w:color="0000FF"/>
          </w:rPr>
          <w:t>ICTR-</w:t>
        </w:r>
        <w:r>
          <w:rPr>
            <w:color w:val="0000FF"/>
            <w:spacing w:val="-2"/>
            <w:u w:val="single" w:color="0000FF"/>
          </w:rPr>
          <w:t>Navigator@umaryland.ed</w:t>
        </w:r>
      </w:hyperlink>
      <w:r>
        <w:rPr>
          <w:color w:val="0000FF"/>
          <w:spacing w:val="-2"/>
          <w:u w:val="single" w:color="0000FF"/>
        </w:rPr>
        <w:t>u</w:t>
      </w:r>
    </w:p>
    <w:sectPr>
      <w:type w:val="continuous"/>
      <w:pgSz w:w="12240" w:h="15840"/>
      <w:pgMar w:top="500" w:bottom="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" w:right="21"/>
      <w:jc w:val="center"/>
      <w:outlineLvl w:val="1"/>
    </w:pPr>
    <w:rPr>
      <w:rFonts w:ascii="Calibri" w:hAnsi="Calibri" w:eastAsia="Calibri" w:cs="Calibri"/>
      <w:sz w:val="31"/>
      <w:szCs w:val="31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7"/>
      <w:ind w:left="24" w:right="21"/>
      <w:jc w:val="center"/>
    </w:pPr>
    <w:rPr>
      <w:rFonts w:ascii="Times New Roman" w:hAnsi="Times New Roman" w:eastAsia="Times New Roman" w:cs="Times New Roman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us02web.zoom.us/webinar/register/WN_Hafc6rDnRT-cu4fOqHT_IA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mailto:ICTR-Navigator@umaryland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mlutz</dc:creator>
  <dcterms:created xsi:type="dcterms:W3CDTF">2024-04-09T19:21:15Z</dcterms:created>
  <dcterms:modified xsi:type="dcterms:W3CDTF">2024-04-09T19:21:15Z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for Microsoft 365</vt:lpwstr>
  </property>
</Properties>
</file>